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EB" w:rsidRPr="00E31D31" w:rsidRDefault="00AF00F6" w:rsidP="00AF00F6">
      <w:pPr>
        <w:spacing w:before="77"/>
        <w:textAlignment w:val="baseline"/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</w:pPr>
      <w:r w:rsidRPr="00E31D31"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Stillingsinstruks for instituttillitsvalgt (ITV) </w:t>
      </w:r>
    </w:p>
    <w:p w:rsidR="00AF00F6" w:rsidRPr="00E31D31" w:rsidRDefault="00AF00F6" w:rsidP="00AF00F6">
      <w:pPr>
        <w:spacing w:before="77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E31D31">
        <w:rPr>
          <w:rFonts w:ascii="Arial" w:eastAsia="+mn-ea" w:hAnsi="Arial" w:cs="Arial"/>
          <w:b/>
          <w:bCs/>
          <w:kern w:val="24"/>
          <w:sz w:val="32"/>
          <w:szCs w:val="32"/>
        </w:rPr>
        <w:t xml:space="preserve">ved </w:t>
      </w:r>
      <w:r w:rsidR="00E31D31" w:rsidRPr="00E31D31">
        <w:rPr>
          <w:rFonts w:ascii="Arial" w:hAnsi="Arial" w:cs="Arial"/>
          <w:b/>
          <w:bCs/>
          <w:color w:val="000000"/>
          <w:sz w:val="32"/>
          <w:szCs w:val="32"/>
        </w:rPr>
        <w:t>Institutt for moderne samfunnshistorie</w:t>
      </w:r>
      <w:r w:rsidR="00E31D31" w:rsidRPr="00E31D31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:rsidR="00C336EB" w:rsidRPr="00FC2017" w:rsidRDefault="00AF00F6" w:rsidP="00FC2017">
      <w:pPr>
        <w:textAlignment w:val="baseline"/>
        <w:rPr>
          <w:rFonts w:ascii="Arial" w:hAnsi="Arial" w:cs="Arial"/>
          <w:i/>
          <w:sz w:val="20"/>
          <w:szCs w:val="20"/>
        </w:rPr>
      </w:pPr>
      <w:r w:rsidRPr="00FC2017">
        <w:rPr>
          <w:rFonts w:ascii="Arial" w:eastAsia="+mn-ea" w:hAnsi="Arial" w:cs="Arial"/>
          <w:i/>
          <w:kern w:val="24"/>
          <w:sz w:val="20"/>
          <w:szCs w:val="20"/>
        </w:rPr>
        <w:t xml:space="preserve">Vedtatt </w:t>
      </w:r>
      <w:r w:rsidR="00C336EB" w:rsidRPr="00FC2017">
        <w:rPr>
          <w:rFonts w:ascii="Arial" w:eastAsia="+mn-ea" w:hAnsi="Arial" w:cs="Arial"/>
          <w:i/>
          <w:kern w:val="24"/>
          <w:sz w:val="20"/>
          <w:szCs w:val="20"/>
        </w:rPr>
        <w:t xml:space="preserve">på AU-møte 24.02.2020 </w:t>
      </w:r>
      <w:bookmarkStart w:id="0" w:name="_GoBack"/>
      <w:bookmarkEnd w:id="0"/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 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Formålet med Instituttillitsvalgt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Instituttvalgt har to hovedoppgaver – studentkontakt og representantverv. Den tillitsvalgte skal være synlig blant studentene og de studentene som er tilknyttet institutt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softHyphen/>
        <w:t>et skal vite hvem som er tillitsvalgt.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 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Myndighet</w:t>
      </w:r>
    </w:p>
    <w:p w:rsidR="00AF00F6" w:rsidRPr="00C336EB" w:rsidRDefault="00AF00F6" w:rsidP="00FC2017">
      <w:pPr>
        <w:textAlignment w:val="baseline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Instituttillitsvalgt er valgt av </w:t>
      </w:r>
      <w:r w:rsidR="00AA3E24">
        <w:rPr>
          <w:rFonts w:ascii="Arial" w:eastAsia="+mn-ea" w:hAnsi="Arial" w:cs="Arial"/>
          <w:color w:val="000000"/>
          <w:kern w:val="24"/>
          <w:sz w:val="22"/>
          <w:szCs w:val="22"/>
        </w:rPr>
        <w:t>a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llmøte på instituttnivå og representer studentene mellom </w:t>
      </w:r>
      <w:r w:rsidR="00AA3E24">
        <w:rPr>
          <w:rFonts w:ascii="Arial" w:eastAsia="+mn-ea" w:hAnsi="Arial" w:cs="Arial"/>
          <w:color w:val="000000"/>
          <w:kern w:val="24"/>
          <w:sz w:val="22"/>
          <w:szCs w:val="22"/>
        </w:rPr>
        <w:t>a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llmøtene.</w:t>
      </w:r>
    </w:p>
    <w:p w:rsidR="00AF00F6" w:rsidRPr="00C336EB" w:rsidRDefault="00AF00F6" w:rsidP="00FC2017">
      <w:pPr>
        <w:rPr>
          <w:rFonts w:ascii="Arial" w:hAnsi="Arial" w:cs="Arial"/>
          <w:color w:val="000000"/>
          <w:sz w:val="22"/>
          <w:szCs w:val="22"/>
        </w:rPr>
      </w:pP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b/>
          <w:bCs/>
          <w:color w:val="000000"/>
          <w:kern w:val="24"/>
          <w:sz w:val="22"/>
          <w:szCs w:val="22"/>
        </w:rPr>
        <w:t>Arbeidsoppgaver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Fungerer som et kontaktledd mellom studenter og institutt.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Fange opp signaler fra studentene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ITV skal være fast medlem av instituttstyre/råd/ledergruppe</w:t>
      </w:r>
      <w:r w:rsidR="00E31D31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Har møteplikt på Studentrådsmøtene og på allmøtene.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Refererer fra eventuelle institutt-/programråd på studentrådsmøtene.</w:t>
      </w:r>
    </w:p>
    <w:p w:rsidR="00AF00F6" w:rsidRPr="00C336EB" w:rsidRDefault="00FC2017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Skal i </w:t>
      </w:r>
      <w:r w:rsidR="00AF00F6" w:rsidRPr="00C336EB">
        <w:rPr>
          <w:rFonts w:ascii="Arial" w:hAnsi="Arial" w:cs="Arial"/>
          <w:color w:val="000000"/>
          <w:kern w:val="24"/>
          <w:sz w:val="22"/>
          <w:szCs w:val="22"/>
        </w:rPr>
        <w:t xml:space="preserve">samarbeid med </w:t>
      </w:r>
      <w:r w:rsidR="00C336EB">
        <w:rPr>
          <w:rFonts w:ascii="Arial" w:hAnsi="Arial" w:cs="Arial"/>
          <w:color w:val="000000"/>
          <w:kern w:val="24"/>
          <w:sz w:val="22"/>
          <w:szCs w:val="22"/>
        </w:rPr>
        <w:t>FTV</w:t>
      </w:r>
      <w:r w:rsidR="00AF00F6" w:rsidRPr="00C336EB">
        <w:rPr>
          <w:rFonts w:ascii="Arial" w:hAnsi="Arial" w:cs="Arial"/>
          <w:color w:val="000000"/>
          <w:kern w:val="24"/>
          <w:sz w:val="22"/>
          <w:szCs w:val="22"/>
        </w:rPr>
        <w:t xml:space="preserve"> sørge for at det er programrådstillitsvalgte på </w:t>
      </w:r>
      <w:r w:rsidR="00C336EB">
        <w:rPr>
          <w:rFonts w:ascii="Arial" w:hAnsi="Arial" w:cs="Arial"/>
          <w:color w:val="000000"/>
          <w:kern w:val="24"/>
          <w:sz w:val="22"/>
          <w:szCs w:val="22"/>
        </w:rPr>
        <w:t>alle studieprogram.</w:t>
      </w:r>
      <w:r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Instituttillitsvalgte kan, dersom det ikke finnes andre kandidater, selv sitte i programråd.</w:t>
      </w:r>
      <w:r w:rsidR="00FC2017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 xml:space="preserve">Være et kontaktledd for linjeforeninger og fagutvalg, og i samarbeid med </w:t>
      </w:r>
      <w:r w:rsidR="00FC2017">
        <w:rPr>
          <w:rFonts w:ascii="Arial" w:hAnsi="Arial" w:cs="Arial"/>
          <w:color w:val="000000"/>
          <w:kern w:val="24"/>
          <w:sz w:val="22"/>
          <w:szCs w:val="22"/>
        </w:rPr>
        <w:t>FTV</w:t>
      </w:r>
      <w:r w:rsidRPr="00C336EB">
        <w:rPr>
          <w:rFonts w:ascii="Arial" w:hAnsi="Arial" w:cs="Arial"/>
          <w:color w:val="000000"/>
          <w:kern w:val="24"/>
          <w:sz w:val="22"/>
          <w:szCs w:val="22"/>
        </w:rPr>
        <w:t xml:space="preserve"> sørge for at disse eksisterer og fungerer</w:t>
      </w:r>
      <w:r w:rsidR="00FC2017">
        <w:rPr>
          <w:rFonts w:ascii="Arial" w:hAnsi="Arial" w:cs="Arial"/>
          <w:color w:val="000000"/>
          <w:kern w:val="24"/>
          <w:sz w:val="22"/>
          <w:szCs w:val="22"/>
        </w:rPr>
        <w:t xml:space="preserve">.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kern w:val="24"/>
          <w:sz w:val="22"/>
          <w:szCs w:val="22"/>
        </w:rPr>
        <w:t>Er pliktig å informere linjeforeninger og programtillitsvalgte om relevante saker på instituttet og studentrådet.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kern w:val="24"/>
          <w:sz w:val="22"/>
          <w:szCs w:val="22"/>
        </w:rPr>
        <w:t xml:space="preserve">Holde minimum 3 møter med programrådstillitsvalgte og linjeforeningsledere ved instituttet i semesteret, der man oppdaterer hverandre og fordeler arbeidsoppgaver.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kern w:val="24"/>
          <w:sz w:val="22"/>
          <w:szCs w:val="22"/>
        </w:rPr>
        <w:t>I samarbeid med de programrådstillitsvalgte sørge for at referansegrupper eksisterer</w:t>
      </w:r>
      <w:r w:rsidR="00E31D31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AF00F6" w:rsidRPr="00C336EB" w:rsidRDefault="00FC2017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Skal </w:t>
      </w:r>
      <w:r w:rsidR="00AF00F6" w:rsidRPr="00C336EB">
        <w:rPr>
          <w:rFonts w:ascii="Arial" w:hAnsi="Arial" w:cs="Arial"/>
          <w:kern w:val="24"/>
          <w:sz w:val="22"/>
          <w:szCs w:val="22"/>
        </w:rPr>
        <w:t xml:space="preserve">følge opp referansegrupper i henhold til </w:t>
      </w:r>
      <w:r>
        <w:rPr>
          <w:rFonts w:ascii="Arial" w:hAnsi="Arial" w:cs="Arial"/>
          <w:i/>
          <w:iCs/>
          <w:kern w:val="24"/>
          <w:sz w:val="22"/>
          <w:szCs w:val="22"/>
        </w:rPr>
        <w:t>R</w:t>
      </w:r>
      <w:r w:rsidR="00AF00F6" w:rsidRPr="00C336EB">
        <w:rPr>
          <w:rFonts w:ascii="Arial" w:hAnsi="Arial" w:cs="Arial"/>
          <w:i/>
          <w:iCs/>
          <w:kern w:val="24"/>
          <w:sz w:val="22"/>
          <w:szCs w:val="22"/>
        </w:rPr>
        <w:t>etningslinjer for referansegruppearbeid.</w:t>
      </w:r>
      <w:r>
        <w:rPr>
          <w:rFonts w:ascii="Arial" w:hAnsi="Arial" w:cs="Arial"/>
          <w:i/>
          <w:iCs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Informere studentene på instituttet om saker som er relevante for dem, og om kommende møter og valg</w:t>
      </w:r>
      <w:r w:rsidR="00FC2017">
        <w:rPr>
          <w:rFonts w:ascii="Arial" w:hAnsi="Arial" w:cs="Arial"/>
          <w:color w:val="000000"/>
          <w:kern w:val="24"/>
          <w:sz w:val="22"/>
          <w:szCs w:val="22"/>
        </w:rPr>
        <w:t xml:space="preserve">. </w:t>
      </w:r>
    </w:p>
    <w:p w:rsidR="00AF00F6" w:rsidRDefault="00AF00F6" w:rsidP="00FC2017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36EB">
        <w:rPr>
          <w:rFonts w:ascii="Arial" w:hAnsi="Arial" w:cs="Arial"/>
          <w:color w:val="000000"/>
          <w:sz w:val="22"/>
          <w:szCs w:val="22"/>
        </w:rPr>
        <w:t xml:space="preserve">Arrangere allmøte og finne aktuelle kandidater når men er ferdig med sin periode. </w:t>
      </w:r>
    </w:p>
    <w:p w:rsidR="00E31D31" w:rsidRPr="00C336EB" w:rsidRDefault="00E31D31" w:rsidP="00E31D31">
      <w:pPr>
        <w:numPr>
          <w:ilvl w:val="0"/>
          <w:numId w:val="4"/>
        </w:num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336EB">
        <w:rPr>
          <w:rFonts w:ascii="Arial" w:hAnsi="Arial" w:cs="Arial"/>
          <w:color w:val="000000"/>
          <w:kern w:val="24"/>
          <w:sz w:val="22"/>
          <w:szCs w:val="22"/>
        </w:rPr>
        <w:t>Instituttillitsvalgte skal sitte kontorvakt på Studentrådskontoret 2 timer i uka.</w:t>
      </w:r>
    </w:p>
    <w:p w:rsidR="00E31D31" w:rsidRDefault="00E31D31" w:rsidP="00FC2017">
      <w:pPr>
        <w:tabs>
          <w:tab w:val="left" w:pos="360"/>
        </w:tabs>
        <w:ind w:left="1267"/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FC2017" w:rsidRPr="00C336EB" w:rsidRDefault="00FC2017" w:rsidP="00E31D31">
      <w:pPr>
        <w:tabs>
          <w:tab w:val="left" w:pos="360"/>
        </w:tabs>
        <w:contextualSpacing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b/>
          <w:bCs/>
          <w:color w:val="000000"/>
          <w:kern w:val="24"/>
          <w:sz w:val="22"/>
          <w:szCs w:val="22"/>
        </w:rPr>
        <w:t>Godtgjørelse</w:t>
      </w:r>
    </w:p>
    <w:p w:rsidR="00FC2017" w:rsidRDefault="00AF00F6" w:rsidP="00FC2017">
      <w:pPr>
        <w:textAlignment w:val="baseline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 henhold til avtale om tilrettelegging for studentorganenes arbeid så får de tillitsvalgte en godtgjøring for vervet. Instituttillitsvalgte har i utgangspunktet en godtgjørelse på </w:t>
      </w:r>
      <w:proofErr w:type="spellStart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max</w:t>
      </w:r>
      <w:proofErr w:type="spellEnd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80</w:t>
      </w:r>
      <w:r w:rsidR="00FC2017">
        <w:rPr>
          <w:rFonts w:ascii="Arial" w:eastAsia="+mn-ea" w:hAnsi="Arial" w:cs="Arial"/>
          <w:color w:val="000000"/>
          <w:kern w:val="24"/>
          <w:sz w:val="22"/>
          <w:szCs w:val="22"/>
        </w:rPr>
        <w:t> 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t</w:t>
      </w:r>
      <w:r w:rsidR="00FC2017">
        <w:rPr>
          <w:rFonts w:ascii="Arial" w:eastAsia="+mn-ea" w:hAnsi="Arial" w:cs="Arial"/>
          <w:color w:val="000000"/>
          <w:kern w:val="24"/>
          <w:sz w:val="22"/>
          <w:szCs w:val="22"/>
        </w:rPr>
        <w:t> 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/</w:t>
      </w:r>
      <w:r w:rsidR="00FC2017">
        <w:rPr>
          <w:rFonts w:eastAsia="+mn-ea"/>
        </w:rPr>
        <w:t> 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semester. Instituttillitsvalgte har 2 timer kontorvakt pr uke på studentrådskontoret. 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Alle har møteplikt på studentrådsmøtene!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 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i/>
          <w:iCs/>
          <w:color w:val="000000"/>
          <w:kern w:val="24"/>
          <w:sz w:val="22"/>
          <w:szCs w:val="22"/>
        </w:rPr>
        <w:t>Lønna låses til følgende oppgaver: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Instituttillitsvalgte får max 80 timer fordelt på: 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Ca</w:t>
      </w:r>
      <w:proofErr w:type="spellEnd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50 % for kontorvakt – i henhold til time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føring 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Ca</w:t>
      </w:r>
      <w:proofErr w:type="spellEnd"/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>5</w:t>
      </w: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0 % for vervet som er knyttet mot instituttet 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og </w:t>
      </w:r>
      <w:r w:rsidR="00C336EB"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i forbindelse med studentrådsmøtene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C336EB" w:rsidRDefault="00AF00F6" w:rsidP="00FC2017">
      <w:pPr>
        <w:textAlignment w:val="baseline"/>
        <w:rPr>
          <w:rFonts w:ascii="Arial" w:hAnsi="Arial" w:cs="Arial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>De fakultetstillitsvalgte er de som kan regulere dette dersom den tillitsvalgte har vist liten interesse /dårlig oppmøte. Etter et varsel i løpet av semesteret.</w:t>
      </w:r>
      <w:r w:rsid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p w:rsidR="00AF00F6" w:rsidRPr="00FC2017" w:rsidRDefault="00AF00F6" w:rsidP="00FC2017">
      <w:pPr>
        <w:textAlignment w:val="baseline"/>
        <w:rPr>
          <w:rFonts w:ascii="Arial" w:eastAsia="+mn-ea" w:hAnsi="Arial" w:cs="Arial"/>
          <w:color w:val="000000"/>
          <w:kern w:val="24"/>
          <w:sz w:val="22"/>
          <w:szCs w:val="22"/>
        </w:rPr>
      </w:pPr>
      <w:r w:rsidRPr="00C336EB">
        <w:rPr>
          <w:rFonts w:ascii="Arial" w:eastAsia="+mn-ea" w:hAnsi="Arial" w:cs="Arial"/>
          <w:color w:val="000000"/>
          <w:kern w:val="24"/>
          <w:sz w:val="22"/>
          <w:szCs w:val="22"/>
        </w:rPr>
        <w:t xml:space="preserve"> </w:t>
      </w:r>
    </w:p>
    <w:sectPr w:rsidR="00AF00F6" w:rsidRPr="00FC2017" w:rsidSect="00C336EB">
      <w:headerReference w:type="default" r:id="rId7"/>
      <w:headerReference w:type="first" r:id="rId8"/>
      <w:pgSz w:w="11906" w:h="16838" w:code="9"/>
      <w:pgMar w:top="1418" w:right="849" w:bottom="53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85" w:rsidRDefault="00023D85">
      <w:r>
        <w:separator/>
      </w:r>
    </w:p>
  </w:endnote>
  <w:endnote w:type="continuationSeparator" w:id="0">
    <w:p w:rsidR="00023D85" w:rsidRDefault="000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85" w:rsidRDefault="00023D85">
      <w:r>
        <w:separator/>
      </w:r>
    </w:p>
  </w:footnote>
  <w:footnote w:type="continuationSeparator" w:id="0">
    <w:p w:rsidR="00023D85" w:rsidRDefault="0002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E1" w:rsidRPr="00C336EB" w:rsidRDefault="003A5DFF">
    <w:pPr>
      <w:pStyle w:val="Topptekst"/>
      <w:rPr>
        <w:rFonts w:ascii="Arial" w:hAnsi="Arial" w:cs="Arial"/>
        <w:i/>
        <w:iCs/>
        <w:lang w:val="nn-NO"/>
      </w:rPr>
    </w:pPr>
    <w:r w:rsidRPr="00C336EB">
      <w:rPr>
        <w:rFonts w:ascii="Arial" w:hAnsi="Arial" w:cs="Arial"/>
        <w:i/>
        <w:iCs/>
        <w:lang w:val="nn-NO"/>
      </w:rPr>
      <w:t xml:space="preserve">Studentrådet HF </w:t>
    </w:r>
  </w:p>
  <w:p w:rsidR="003A5DFF" w:rsidRPr="003A5DFF" w:rsidRDefault="003A5DFF" w:rsidP="003A5DFF">
    <w:pPr>
      <w:spacing w:before="77"/>
      <w:jc w:val="right"/>
      <w:textAlignment w:val="baseline"/>
      <w:rPr>
        <w:rFonts w:eastAsia="+mn-ea"/>
        <w:bCs/>
        <w:kern w:val="24"/>
        <w:sz w:val="20"/>
        <w:szCs w:val="20"/>
        <w:lang w:val="nn-NO"/>
      </w:rPr>
    </w:pPr>
    <w:r w:rsidRPr="00C336EB">
      <w:rPr>
        <w:rFonts w:ascii="Arial" w:eastAsia="+mn-ea" w:hAnsi="Arial" w:cs="Arial"/>
        <w:bCs/>
        <w:color w:val="000000"/>
        <w:kern w:val="24"/>
        <w:sz w:val="20"/>
        <w:szCs w:val="20"/>
        <w:lang w:val="nn-NO"/>
      </w:rPr>
      <w:t xml:space="preserve">Stillingsinstruks for ITV </w:t>
    </w:r>
    <w:r w:rsidRPr="00C336EB">
      <w:rPr>
        <w:rFonts w:ascii="Arial" w:eastAsia="+mn-ea" w:hAnsi="Arial" w:cs="Arial"/>
        <w:bCs/>
        <w:kern w:val="24"/>
        <w:sz w:val="20"/>
        <w:szCs w:val="20"/>
        <w:lang w:val="nn-NO"/>
      </w:rPr>
      <w:t xml:space="preserve">ved </w:t>
    </w:r>
    <w:r w:rsidR="00C336EB" w:rsidRPr="00C336EB">
      <w:rPr>
        <w:rFonts w:ascii="Arial" w:hAnsi="Arial" w:cs="Arial"/>
        <w:color w:val="000000"/>
        <w:sz w:val="20"/>
        <w:szCs w:val="20"/>
      </w:rPr>
      <w:t>Institutt for historiske og klassiske studier (IHK)</w:t>
    </w:r>
  </w:p>
  <w:p w:rsidR="003A5DFF" w:rsidRPr="003A5DFF" w:rsidRDefault="003A5DFF" w:rsidP="003A5DFF">
    <w:pPr>
      <w:spacing w:before="77"/>
      <w:jc w:val="right"/>
      <w:textAlignment w:val="baseline"/>
      <w:rPr>
        <w:sz w:val="20"/>
        <w:szCs w:val="20"/>
        <w:lang w:val="nn-NO"/>
      </w:rPr>
    </w:pPr>
    <w:r w:rsidRPr="003A5DFF">
      <w:rPr>
        <w:sz w:val="20"/>
        <w:szCs w:val="20"/>
        <w:lang w:val="nn-NO"/>
      </w:rPr>
      <w:t xml:space="preserve">Side </w:t>
    </w:r>
    <w:r w:rsidRPr="003A5DFF">
      <w:rPr>
        <w:b/>
        <w:sz w:val="20"/>
        <w:szCs w:val="20"/>
        <w:lang w:val="nn-NO"/>
      </w:rPr>
      <w:fldChar w:fldCharType="begin"/>
    </w:r>
    <w:r w:rsidRPr="003A5DFF">
      <w:rPr>
        <w:b/>
        <w:sz w:val="20"/>
        <w:szCs w:val="20"/>
        <w:lang w:val="nn-NO"/>
      </w:rPr>
      <w:instrText>PAGE  \* Arabic  \* MERGEFORMAT</w:instrText>
    </w:r>
    <w:r w:rsidRPr="003A5DFF">
      <w:rPr>
        <w:b/>
        <w:sz w:val="20"/>
        <w:szCs w:val="20"/>
        <w:lang w:val="nn-NO"/>
      </w:rPr>
      <w:fldChar w:fldCharType="separate"/>
    </w:r>
    <w:r w:rsidR="00AF00F6">
      <w:rPr>
        <w:b/>
        <w:noProof/>
        <w:sz w:val="20"/>
        <w:szCs w:val="20"/>
        <w:lang w:val="nn-NO"/>
      </w:rPr>
      <w:t>2</w:t>
    </w:r>
    <w:r w:rsidRPr="003A5DFF">
      <w:rPr>
        <w:b/>
        <w:sz w:val="20"/>
        <w:szCs w:val="20"/>
        <w:lang w:val="nn-NO"/>
      </w:rPr>
      <w:fldChar w:fldCharType="end"/>
    </w:r>
    <w:r w:rsidRPr="003A5DFF">
      <w:rPr>
        <w:sz w:val="20"/>
        <w:szCs w:val="20"/>
        <w:lang w:val="nn-NO"/>
      </w:rPr>
      <w:t xml:space="preserve"> av </w:t>
    </w:r>
    <w:r w:rsidRPr="003A5DFF">
      <w:rPr>
        <w:b/>
        <w:sz w:val="20"/>
        <w:szCs w:val="20"/>
        <w:lang w:val="nn-NO"/>
      </w:rPr>
      <w:fldChar w:fldCharType="begin"/>
    </w:r>
    <w:r w:rsidRPr="003A5DFF">
      <w:rPr>
        <w:b/>
        <w:sz w:val="20"/>
        <w:szCs w:val="20"/>
        <w:lang w:val="nn-NO"/>
      </w:rPr>
      <w:instrText>NUMPAGES  \* Arabic  \* MERGEFORMAT</w:instrText>
    </w:r>
    <w:r w:rsidRPr="003A5DFF">
      <w:rPr>
        <w:b/>
        <w:sz w:val="20"/>
        <w:szCs w:val="20"/>
        <w:lang w:val="nn-NO"/>
      </w:rPr>
      <w:fldChar w:fldCharType="separate"/>
    </w:r>
    <w:r w:rsidR="00AF00F6">
      <w:rPr>
        <w:b/>
        <w:noProof/>
        <w:sz w:val="20"/>
        <w:szCs w:val="20"/>
        <w:lang w:val="nn-NO"/>
      </w:rPr>
      <w:t>2</w:t>
    </w:r>
    <w:r w:rsidRPr="003A5DFF">
      <w:rPr>
        <w:b/>
        <w:sz w:val="20"/>
        <w:szCs w:val="20"/>
        <w:lang w:val="nn-NO"/>
      </w:rPr>
      <w:fldChar w:fldCharType="end"/>
    </w:r>
  </w:p>
  <w:p w:rsidR="003A5DFF" w:rsidRPr="003A5DFF" w:rsidRDefault="003A5DFF" w:rsidP="003A5DFF">
    <w:pPr>
      <w:pStyle w:val="Topptekst"/>
      <w:pBdr>
        <w:top w:val="single" w:sz="4" w:space="1" w:color="auto"/>
      </w:pBdr>
      <w:jc w:val="right"/>
      <w:rPr>
        <w:lang w:val="nn-NO"/>
      </w:rPr>
    </w:pPr>
  </w:p>
  <w:p w:rsidR="003A5DFF" w:rsidRPr="003A5DFF" w:rsidRDefault="003A5DFF">
    <w:pPr>
      <w:pStyle w:val="Topptekst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DFF" w:rsidRDefault="00C336EB">
    <w:pPr>
      <w:pStyle w:val="Topptekst"/>
    </w:pPr>
    <w:r>
      <w:rPr>
        <w:noProof/>
      </w:rPr>
      <w:drawing>
        <wp:inline distT="0" distB="0" distL="0" distR="0">
          <wp:extent cx="891540" cy="1145848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6_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24" cy="115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DFF" w:rsidRDefault="003A5D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C3"/>
    <w:multiLevelType w:val="hybridMultilevel"/>
    <w:tmpl w:val="166C8EC0"/>
    <w:lvl w:ilvl="0" w:tplc="D556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6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00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E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4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60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36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8E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E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36492"/>
    <w:multiLevelType w:val="hybridMultilevel"/>
    <w:tmpl w:val="47141C0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86AEF"/>
    <w:multiLevelType w:val="hybridMultilevel"/>
    <w:tmpl w:val="385EC904"/>
    <w:lvl w:ilvl="0" w:tplc="29D4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E7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04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8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42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FC0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00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4A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49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6CA7FB0"/>
    <w:multiLevelType w:val="hybridMultilevel"/>
    <w:tmpl w:val="BA0A9A5A"/>
    <w:lvl w:ilvl="0" w:tplc="1F183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C1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86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0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C9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60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8AB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42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AC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DD"/>
    <w:rsid w:val="00001E07"/>
    <w:rsid w:val="00023D85"/>
    <w:rsid w:val="00027C94"/>
    <w:rsid w:val="000320D5"/>
    <w:rsid w:val="00033DA6"/>
    <w:rsid w:val="00035BBA"/>
    <w:rsid w:val="00051BC2"/>
    <w:rsid w:val="00065415"/>
    <w:rsid w:val="00075895"/>
    <w:rsid w:val="000D42AA"/>
    <w:rsid w:val="000E1269"/>
    <w:rsid w:val="000E583F"/>
    <w:rsid w:val="000F1C12"/>
    <w:rsid w:val="00104763"/>
    <w:rsid w:val="00113479"/>
    <w:rsid w:val="0011368F"/>
    <w:rsid w:val="00114B00"/>
    <w:rsid w:val="001164EF"/>
    <w:rsid w:val="001252DD"/>
    <w:rsid w:val="001742DC"/>
    <w:rsid w:val="00177DC0"/>
    <w:rsid w:val="00180101"/>
    <w:rsid w:val="00187672"/>
    <w:rsid w:val="001901C8"/>
    <w:rsid w:val="001B56CE"/>
    <w:rsid w:val="001D7026"/>
    <w:rsid w:val="001E21DC"/>
    <w:rsid w:val="001E42FF"/>
    <w:rsid w:val="001E5CCF"/>
    <w:rsid w:val="00215DE6"/>
    <w:rsid w:val="00220417"/>
    <w:rsid w:val="002244AE"/>
    <w:rsid w:val="002349CC"/>
    <w:rsid w:val="00273CDA"/>
    <w:rsid w:val="0028370E"/>
    <w:rsid w:val="002872C8"/>
    <w:rsid w:val="00297404"/>
    <w:rsid w:val="002D22F3"/>
    <w:rsid w:val="002E10C3"/>
    <w:rsid w:val="002E20E4"/>
    <w:rsid w:val="002E3EE2"/>
    <w:rsid w:val="002E411F"/>
    <w:rsid w:val="002E647D"/>
    <w:rsid w:val="002F3A34"/>
    <w:rsid w:val="0034617D"/>
    <w:rsid w:val="00350A2A"/>
    <w:rsid w:val="00355E72"/>
    <w:rsid w:val="00363B9E"/>
    <w:rsid w:val="003643B1"/>
    <w:rsid w:val="00390086"/>
    <w:rsid w:val="00392DCA"/>
    <w:rsid w:val="003A10E8"/>
    <w:rsid w:val="003A5DFF"/>
    <w:rsid w:val="003A5F28"/>
    <w:rsid w:val="003C2499"/>
    <w:rsid w:val="003C7C70"/>
    <w:rsid w:val="003D4C76"/>
    <w:rsid w:val="003D6117"/>
    <w:rsid w:val="003E54E9"/>
    <w:rsid w:val="003E5633"/>
    <w:rsid w:val="003E5D97"/>
    <w:rsid w:val="003F64AA"/>
    <w:rsid w:val="00404B45"/>
    <w:rsid w:val="004404DD"/>
    <w:rsid w:val="0044295B"/>
    <w:rsid w:val="00447A38"/>
    <w:rsid w:val="00460E0E"/>
    <w:rsid w:val="0046794C"/>
    <w:rsid w:val="004729F6"/>
    <w:rsid w:val="00492A67"/>
    <w:rsid w:val="00493428"/>
    <w:rsid w:val="004A0550"/>
    <w:rsid w:val="004A1567"/>
    <w:rsid w:val="004A2F4E"/>
    <w:rsid w:val="004A45CF"/>
    <w:rsid w:val="004A5FAA"/>
    <w:rsid w:val="004B1319"/>
    <w:rsid w:val="004B7371"/>
    <w:rsid w:val="004C6687"/>
    <w:rsid w:val="004D06DF"/>
    <w:rsid w:val="004E7A35"/>
    <w:rsid w:val="004F2AAF"/>
    <w:rsid w:val="004F711B"/>
    <w:rsid w:val="00503A10"/>
    <w:rsid w:val="00513425"/>
    <w:rsid w:val="00513DF9"/>
    <w:rsid w:val="005508CF"/>
    <w:rsid w:val="00556DD8"/>
    <w:rsid w:val="00574593"/>
    <w:rsid w:val="00585D45"/>
    <w:rsid w:val="005A1F91"/>
    <w:rsid w:val="005A2E8E"/>
    <w:rsid w:val="005B3892"/>
    <w:rsid w:val="005B7A06"/>
    <w:rsid w:val="005C6DF1"/>
    <w:rsid w:val="005D1134"/>
    <w:rsid w:val="005D22F3"/>
    <w:rsid w:val="005D5FE3"/>
    <w:rsid w:val="005F4A89"/>
    <w:rsid w:val="00601330"/>
    <w:rsid w:val="00614A5F"/>
    <w:rsid w:val="00615ED6"/>
    <w:rsid w:val="00617E9A"/>
    <w:rsid w:val="00624169"/>
    <w:rsid w:val="006279A1"/>
    <w:rsid w:val="006347C2"/>
    <w:rsid w:val="006363E0"/>
    <w:rsid w:val="00636787"/>
    <w:rsid w:val="00650789"/>
    <w:rsid w:val="0066075F"/>
    <w:rsid w:val="00671998"/>
    <w:rsid w:val="00675C3B"/>
    <w:rsid w:val="0068526D"/>
    <w:rsid w:val="00687284"/>
    <w:rsid w:val="00690604"/>
    <w:rsid w:val="00692E86"/>
    <w:rsid w:val="006A396D"/>
    <w:rsid w:val="006B3023"/>
    <w:rsid w:val="006B53DC"/>
    <w:rsid w:val="006F4661"/>
    <w:rsid w:val="006F57B1"/>
    <w:rsid w:val="00703D57"/>
    <w:rsid w:val="007055E1"/>
    <w:rsid w:val="00712A35"/>
    <w:rsid w:val="00733A50"/>
    <w:rsid w:val="00744F9E"/>
    <w:rsid w:val="007621D3"/>
    <w:rsid w:val="007875B1"/>
    <w:rsid w:val="00792242"/>
    <w:rsid w:val="0079377A"/>
    <w:rsid w:val="00794271"/>
    <w:rsid w:val="007951E9"/>
    <w:rsid w:val="007A1867"/>
    <w:rsid w:val="007B27F4"/>
    <w:rsid w:val="007D4E8A"/>
    <w:rsid w:val="007E072C"/>
    <w:rsid w:val="007E2F6D"/>
    <w:rsid w:val="007E5E3B"/>
    <w:rsid w:val="007F42BA"/>
    <w:rsid w:val="007F680A"/>
    <w:rsid w:val="008603BB"/>
    <w:rsid w:val="00863D21"/>
    <w:rsid w:val="00873A8F"/>
    <w:rsid w:val="0088011A"/>
    <w:rsid w:val="00882117"/>
    <w:rsid w:val="00883D44"/>
    <w:rsid w:val="008864EF"/>
    <w:rsid w:val="0089136B"/>
    <w:rsid w:val="00896880"/>
    <w:rsid w:val="008A5068"/>
    <w:rsid w:val="008A5EAB"/>
    <w:rsid w:val="008D6D08"/>
    <w:rsid w:val="008E1300"/>
    <w:rsid w:val="008E7C46"/>
    <w:rsid w:val="009042DD"/>
    <w:rsid w:val="00914E2C"/>
    <w:rsid w:val="009363C9"/>
    <w:rsid w:val="00971B1A"/>
    <w:rsid w:val="00991571"/>
    <w:rsid w:val="00996CB3"/>
    <w:rsid w:val="009A221B"/>
    <w:rsid w:val="009C1302"/>
    <w:rsid w:val="009C1DE5"/>
    <w:rsid w:val="009E5E1C"/>
    <w:rsid w:val="009F439D"/>
    <w:rsid w:val="00A006B2"/>
    <w:rsid w:val="00A0193B"/>
    <w:rsid w:val="00A04EB3"/>
    <w:rsid w:val="00A142C2"/>
    <w:rsid w:val="00A50181"/>
    <w:rsid w:val="00A56F5A"/>
    <w:rsid w:val="00AA2630"/>
    <w:rsid w:val="00AA3E24"/>
    <w:rsid w:val="00AA445F"/>
    <w:rsid w:val="00AA45C1"/>
    <w:rsid w:val="00AB07B0"/>
    <w:rsid w:val="00AB48EE"/>
    <w:rsid w:val="00AD27FE"/>
    <w:rsid w:val="00AF00F6"/>
    <w:rsid w:val="00AF208F"/>
    <w:rsid w:val="00B151F4"/>
    <w:rsid w:val="00B15AEF"/>
    <w:rsid w:val="00B30654"/>
    <w:rsid w:val="00B32D64"/>
    <w:rsid w:val="00B56AF9"/>
    <w:rsid w:val="00B71CCA"/>
    <w:rsid w:val="00B72DAA"/>
    <w:rsid w:val="00B84D48"/>
    <w:rsid w:val="00B92116"/>
    <w:rsid w:val="00B93614"/>
    <w:rsid w:val="00BA74EE"/>
    <w:rsid w:val="00BB2069"/>
    <w:rsid w:val="00BB357E"/>
    <w:rsid w:val="00BB743C"/>
    <w:rsid w:val="00BB78FE"/>
    <w:rsid w:val="00BD4875"/>
    <w:rsid w:val="00BD5447"/>
    <w:rsid w:val="00BE2EC4"/>
    <w:rsid w:val="00BE3320"/>
    <w:rsid w:val="00BF0A3D"/>
    <w:rsid w:val="00C03379"/>
    <w:rsid w:val="00C06B22"/>
    <w:rsid w:val="00C27780"/>
    <w:rsid w:val="00C278E4"/>
    <w:rsid w:val="00C314CE"/>
    <w:rsid w:val="00C334F4"/>
    <w:rsid w:val="00C336EB"/>
    <w:rsid w:val="00C47CA5"/>
    <w:rsid w:val="00C54DAA"/>
    <w:rsid w:val="00C60625"/>
    <w:rsid w:val="00C70320"/>
    <w:rsid w:val="00C71444"/>
    <w:rsid w:val="00C73DD2"/>
    <w:rsid w:val="00C82062"/>
    <w:rsid w:val="00CB3310"/>
    <w:rsid w:val="00CD0F37"/>
    <w:rsid w:val="00CD5670"/>
    <w:rsid w:val="00CE3E3F"/>
    <w:rsid w:val="00CF26D5"/>
    <w:rsid w:val="00D14C90"/>
    <w:rsid w:val="00D263DB"/>
    <w:rsid w:val="00D3143F"/>
    <w:rsid w:val="00D328D2"/>
    <w:rsid w:val="00D60E6B"/>
    <w:rsid w:val="00D64859"/>
    <w:rsid w:val="00D702A3"/>
    <w:rsid w:val="00D76B49"/>
    <w:rsid w:val="00DA57AC"/>
    <w:rsid w:val="00DB0BA0"/>
    <w:rsid w:val="00DB118C"/>
    <w:rsid w:val="00DB4340"/>
    <w:rsid w:val="00DB7882"/>
    <w:rsid w:val="00DC4F49"/>
    <w:rsid w:val="00DC5CC7"/>
    <w:rsid w:val="00DC77D5"/>
    <w:rsid w:val="00DD5AAB"/>
    <w:rsid w:val="00DE7EEB"/>
    <w:rsid w:val="00DF7054"/>
    <w:rsid w:val="00E063E4"/>
    <w:rsid w:val="00E23E6F"/>
    <w:rsid w:val="00E27289"/>
    <w:rsid w:val="00E31D31"/>
    <w:rsid w:val="00E34344"/>
    <w:rsid w:val="00E35625"/>
    <w:rsid w:val="00E563C8"/>
    <w:rsid w:val="00E613D6"/>
    <w:rsid w:val="00E77D44"/>
    <w:rsid w:val="00E8092F"/>
    <w:rsid w:val="00EB6F74"/>
    <w:rsid w:val="00EF3530"/>
    <w:rsid w:val="00F04747"/>
    <w:rsid w:val="00F17621"/>
    <w:rsid w:val="00F26EFA"/>
    <w:rsid w:val="00F33238"/>
    <w:rsid w:val="00F355A2"/>
    <w:rsid w:val="00F56B39"/>
    <w:rsid w:val="00F677DF"/>
    <w:rsid w:val="00F716DA"/>
    <w:rsid w:val="00F7229F"/>
    <w:rsid w:val="00F75330"/>
    <w:rsid w:val="00F759FC"/>
    <w:rsid w:val="00F8434A"/>
    <w:rsid w:val="00F9515E"/>
    <w:rsid w:val="00FB6DF9"/>
    <w:rsid w:val="00FC201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697C8F"/>
  <w15:chartTrackingRefBased/>
  <w15:docId w15:val="{7DD90055-2D1B-4B7E-AFE8-443EBAB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DD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125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25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7055E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055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Stillingsinstruks for Fakultetstillitsrepresentant 1 (FTR 1)</vt:lpstr>
    </vt:vector>
  </TitlesOfParts>
  <Company>NTNU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Stillingsinstruks for Fakultetstillitsrepresentant 1 (FTR 1)</dc:title>
  <dc:subject/>
  <dc:creator>Elin Juliussen</dc:creator>
  <cp:keywords/>
  <cp:lastModifiedBy>Elin Juliussen</cp:lastModifiedBy>
  <cp:revision>2</cp:revision>
  <cp:lastPrinted>2011-09-28T09:28:00Z</cp:lastPrinted>
  <dcterms:created xsi:type="dcterms:W3CDTF">2020-02-18T14:06:00Z</dcterms:created>
  <dcterms:modified xsi:type="dcterms:W3CDTF">2020-02-18T14:06:00Z</dcterms:modified>
</cp:coreProperties>
</file>